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沁县</w:t>
      </w:r>
      <w:r>
        <w:rPr>
          <w:rFonts w:hint="eastAsia" w:ascii="方正小标宋简体" w:hAnsi="方正小标宋简体" w:eastAsia="方正小标宋简体" w:cs="方正小标宋简体"/>
          <w:sz w:val="44"/>
          <w:szCs w:val="44"/>
        </w:rPr>
        <w:t>医疗保障局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关于免予处罚、从轻处罚、减轻处罚“三张清单”的公示</w:t>
      </w:r>
    </w:p>
    <w:bookmarkEnd w:id="0"/>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
          <w:sz w:val="32"/>
          <w:szCs w:val="32"/>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New Roman" w:hAnsi="Times New Roman" w:eastAsia="仿宋"/>
          <w:sz w:val="32"/>
          <w:szCs w:val="32"/>
        </w:rPr>
      </w:pPr>
      <w:r>
        <w:rPr>
          <w:rFonts w:hint="eastAsia" w:ascii="仿宋_GB2312" w:hAnsi="仿宋_GB2312" w:eastAsia="仿宋_GB2312" w:cs="仿宋_GB2312"/>
          <w:sz w:val="32"/>
          <w:szCs w:val="32"/>
        </w:rPr>
        <w:t>为进一步优化法治营商环境，加快法治政府建设进程，根据《中华人民共和国行政处罚法》《优化营商环境条例》、市政府《关于印发长治市贯彻实施&lt;中华人民共和国行政处罚法&gt;任务清单的通知》(长政发(2022)64号)等文件，现将我局关于免子处罚、从轻处罚、减轻处罚“三张清单”公示如下:</w:t>
      </w:r>
    </w:p>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6"/>
          <w:szCs w:val="36"/>
          <w:lang w:val="en-US" w:eastAsia="zh-CN"/>
        </w:rPr>
      </w:pPr>
      <w:r>
        <w:rPr>
          <w:rFonts w:hint="default" w:ascii="仿宋_GB2312" w:hAnsi="仿宋_GB2312" w:eastAsia="仿宋_GB2312" w:cs="仿宋_GB2312"/>
          <w:b/>
          <w:bCs/>
          <w:sz w:val="36"/>
          <w:szCs w:val="36"/>
          <w:lang w:val="en-US" w:eastAsia="zh-CN"/>
        </w:rPr>
        <w:t>免予</w:t>
      </w:r>
      <w:r>
        <w:rPr>
          <w:rFonts w:hint="eastAsia" w:ascii="仿宋_GB2312" w:hAnsi="仿宋_GB2312" w:eastAsia="仿宋_GB2312" w:cs="仿宋_GB2312"/>
          <w:b/>
          <w:bCs/>
          <w:sz w:val="36"/>
          <w:szCs w:val="36"/>
          <w:lang w:val="en-US" w:eastAsia="zh-CN"/>
        </w:rPr>
        <w:t>行政</w:t>
      </w:r>
      <w:r>
        <w:rPr>
          <w:rFonts w:hint="default" w:ascii="仿宋_GB2312" w:hAnsi="仿宋_GB2312" w:eastAsia="仿宋_GB2312" w:cs="仿宋_GB2312"/>
          <w:b/>
          <w:bCs/>
          <w:sz w:val="36"/>
          <w:szCs w:val="36"/>
          <w:lang w:val="en-US" w:eastAsia="zh-CN"/>
        </w:rPr>
        <w:t>处罚清单</w:t>
      </w:r>
    </w:p>
    <w:tbl>
      <w:tblPr>
        <w:tblStyle w:val="6"/>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3879"/>
        <w:gridCol w:w="2435"/>
        <w:gridCol w:w="1518"/>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38" w:type="dxa"/>
            <w:noWrap w:val="0"/>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序号</w:t>
            </w:r>
          </w:p>
        </w:tc>
        <w:tc>
          <w:tcPr>
            <w:tcW w:w="3879" w:type="dxa"/>
            <w:noWrap w:val="0"/>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处罚事项</w:t>
            </w:r>
          </w:p>
        </w:tc>
        <w:tc>
          <w:tcPr>
            <w:tcW w:w="2435" w:type="dxa"/>
            <w:noWrap w:val="0"/>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免予处罚的情形</w:t>
            </w:r>
          </w:p>
        </w:tc>
        <w:tc>
          <w:tcPr>
            <w:tcW w:w="1518" w:type="dxa"/>
            <w:noWrap w:val="0"/>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法律依据</w:t>
            </w:r>
          </w:p>
        </w:tc>
        <w:tc>
          <w:tcPr>
            <w:tcW w:w="747" w:type="dxa"/>
            <w:noWrap w:val="0"/>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对医疗保障经办机构通过伪造、变造、隐匿、涂改，销毁医学文书、医学证明，会计凭证、电子信息等有关资料或者虚构医药服务项目等方式骗取医保基金支出的行政处罚</w:t>
            </w:r>
          </w:p>
        </w:tc>
        <w:tc>
          <w:tcPr>
            <w:tcW w:w="2435" w:type="dxa"/>
            <w:vMerge w:val="restart"/>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一)未满十四周岁的未成年人实施违法行为的;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(二)精神病人、智力残疾人在不能辨认或者控制自己行为时实施违法行为的;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(三)违法事实不清，证据不足的;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(四)违法行为轻微并及时改正，未造成危害后果的;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五)当事人有证据足以证明没有主观过错的，法律、行政法规另有规定的，从其规定:</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(六)违法行为在二年内未被发现的，不再给予行政处罚;涉及公民生命健康安全、金融安全且有危害后果的，上述期限延长至五年。法律另有规定的除外。</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(七)法律、法规、规章规定其他依法不予处罚的情形</w:t>
            </w:r>
          </w:p>
        </w:tc>
        <w:tc>
          <w:tcPr>
            <w:tcW w:w="1518" w:type="dxa"/>
            <w:vMerge w:val="restart"/>
            <w:noWrap w:val="0"/>
            <w:vAlign w:val="top"/>
          </w:tcPr>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《行政处罚法》第三十条、第三十一条、第三十三条、第三十六条《规范医疗保障基金使用监督管理行政处罚裁量权办法》第十三条</w:t>
            </w:r>
          </w:p>
        </w:tc>
        <w:tc>
          <w:tcPr>
            <w:tcW w:w="747" w:type="dxa"/>
            <w:vMerge w:val="restart"/>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对定点医药机构分解住院、挂床住院等造成医疗保障基金损失的违法行为的行政处罚</w:t>
            </w:r>
          </w:p>
        </w:tc>
        <w:tc>
          <w:tcPr>
            <w:tcW w:w="2435" w:type="dxa"/>
            <w:vMerge w:val="continue"/>
            <w:tcBorders/>
            <w:noWrap w:val="0"/>
            <w:vAlign w:val="center"/>
          </w:tcPr>
          <w:p>
            <w:pPr>
              <w:rPr>
                <w:rFonts w:hint="eastAsia" w:ascii="仿宋_GB2312" w:hAnsi="仿宋_GB2312" w:eastAsia="仿宋_GB2312" w:cs="仿宋_GB2312"/>
                <w:sz w:val="21"/>
                <w:szCs w:val="21"/>
                <w:lang w:val="en-US" w:eastAsia="zh-CN"/>
              </w:rPr>
            </w:pPr>
          </w:p>
        </w:tc>
        <w:tc>
          <w:tcPr>
            <w:tcW w:w="1518"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7" w:type="dxa"/>
            <w:vMerge w:val="continue"/>
            <w:tcBorders/>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对定点医药机构未建立医疗保障基金使用内部管理制度，或者没有专门机构或者人员负责医疗保障基金使用管理工作等行为的行政处罚</w:t>
            </w:r>
          </w:p>
        </w:tc>
        <w:tc>
          <w:tcPr>
            <w:tcW w:w="2435" w:type="dxa"/>
            <w:vMerge w:val="continue"/>
            <w:tcBorders/>
            <w:noWrap w:val="0"/>
            <w:vAlign w:val="center"/>
          </w:tcPr>
          <w:p>
            <w:pPr>
              <w:rPr>
                <w:rFonts w:hint="eastAsia" w:ascii="仿宋_GB2312" w:hAnsi="仿宋_GB2312" w:eastAsia="仿宋_GB2312" w:cs="仿宋_GB2312"/>
                <w:sz w:val="21"/>
                <w:szCs w:val="21"/>
                <w:lang w:val="en-US" w:eastAsia="zh-CN"/>
              </w:rPr>
            </w:pPr>
          </w:p>
        </w:tc>
        <w:tc>
          <w:tcPr>
            <w:tcW w:w="1518"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7" w:type="dxa"/>
            <w:vMerge w:val="continue"/>
            <w:tcBorders/>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对于定点医药机构诱导、协助他人冒名或者虚假就医、购药，提供虚假证明材料，或者串通他人虚开费用单据等骗取医保基金支出的行为的行政处罚</w:t>
            </w:r>
          </w:p>
        </w:tc>
        <w:tc>
          <w:tcPr>
            <w:tcW w:w="243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8"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7" w:type="dxa"/>
            <w:vMerge w:val="continue"/>
            <w:tcBorders/>
            <w:noWrap w:val="0"/>
            <w:vAlign w:val="top"/>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对个人将本人的医疗保障凭证交由他人冒名使用等违法使用医保基金行为的行</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政处罚</w:t>
            </w:r>
          </w:p>
        </w:tc>
        <w:tc>
          <w:tcPr>
            <w:tcW w:w="243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8"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7" w:type="dxa"/>
            <w:vMerge w:val="continue"/>
            <w:tcBorders/>
            <w:noWrap w:val="0"/>
            <w:vAlign w:val="top"/>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jc w:val="center"/>
        </w:trPr>
        <w:tc>
          <w:tcPr>
            <w:tcW w:w="738"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3879"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对参加药品采购投标的投标人以低于成本的报价竞标，或者以欺诈、串通投标、滥用市场支配地位等方式竞标的行政处罚</w:t>
            </w:r>
          </w:p>
        </w:tc>
        <w:tc>
          <w:tcPr>
            <w:tcW w:w="243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8"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7" w:type="dxa"/>
            <w:vMerge w:val="continue"/>
            <w:tcBorders/>
            <w:noWrap w:val="0"/>
            <w:vAlign w:val="top"/>
          </w:tcPr>
          <w:p>
            <w:pPr>
              <w:rPr>
                <w:rFonts w:hint="eastAsia" w:ascii="仿宋_GB2312" w:hAnsi="仿宋_GB2312" w:eastAsia="仿宋_GB2312" w:cs="仿宋_GB2312"/>
                <w:sz w:val="21"/>
                <w:szCs w:val="21"/>
                <w:lang w:val="en-US" w:eastAsia="zh-CN"/>
              </w:rPr>
            </w:pPr>
          </w:p>
        </w:tc>
      </w:tr>
    </w:tbl>
    <w:p>
      <w:pPr>
        <w:pStyle w:val="2"/>
        <w:jc w:val="both"/>
        <w:rPr>
          <w:rFonts w:hint="default" w:ascii="黑体" w:hAnsi="黑体" w:eastAsia="黑体" w:cs="黑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120" w:line="560" w:lineRule="exact"/>
        <w:jc w:val="center"/>
        <w:textAlignment w:val="auto"/>
        <w:rPr>
          <w:rFonts w:hint="default" w:ascii="仿宋_GB2312" w:hAnsi="仿宋_GB2312" w:eastAsia="仿宋_GB2312" w:cs="仿宋_GB2312"/>
          <w:b/>
          <w:bCs/>
          <w:kern w:val="2"/>
          <w:sz w:val="36"/>
          <w:szCs w:val="36"/>
          <w:lang w:val="en-US" w:eastAsia="zh-CN" w:bidi="ar-SA"/>
        </w:rPr>
      </w:pPr>
      <w:r>
        <w:rPr>
          <w:rFonts w:hint="eastAsia" w:ascii="仿宋_GB2312" w:hAnsi="仿宋_GB2312" w:eastAsia="仿宋_GB2312" w:cs="仿宋_GB2312"/>
          <w:b/>
          <w:bCs/>
          <w:kern w:val="2"/>
          <w:sz w:val="36"/>
          <w:szCs w:val="36"/>
          <w:lang w:val="en-US" w:eastAsia="zh-CN" w:bidi="ar-SA"/>
        </w:rPr>
        <w:t>从轻处罚事项清单</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3870"/>
        <w:gridCol w:w="2430"/>
        <w:gridCol w:w="1515"/>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序号</w:t>
            </w:r>
          </w:p>
        </w:tc>
        <w:tc>
          <w:tcPr>
            <w:tcW w:w="3870"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处罚事项</w:t>
            </w:r>
          </w:p>
        </w:tc>
        <w:tc>
          <w:tcPr>
            <w:tcW w:w="2430"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从轻、减轻处罚的情形</w:t>
            </w:r>
          </w:p>
        </w:tc>
        <w:tc>
          <w:tcPr>
            <w:tcW w:w="1515"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法律依据</w:t>
            </w:r>
          </w:p>
        </w:tc>
        <w:tc>
          <w:tcPr>
            <w:tcW w:w="741"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对医疗保障经办机构通过伪造、变造、隐匿、涂改，销毁医学文书、医学证明，会计凭证、电子信息等有关资料或者虚构医药服务项目等方式骗取医保基金支出的行政处罚</w:t>
            </w:r>
          </w:p>
        </w:tc>
        <w:tc>
          <w:tcPr>
            <w:tcW w:w="2430" w:type="dxa"/>
            <w:vMerge w:val="restart"/>
            <w:noWrap w:val="0"/>
            <w:vAlign w:val="top"/>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（一）已满十四周岁不满十八周岁的未成年人实施违法行为的；      （二）主动消除或减轻基金使用违法行为危害后果的；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（三）受他人胁迫或者诱骗实施违法行为的；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（四）主动供述行政机关沿未掌握的基金使用违法行为的关键线索或证据，并经查证属实的；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（五）积极配合行政机关查处违法行为、如实陈述违法事实并主动提供证据材料的；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（六）主动投案向行政机关如实交代违法行为的；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（七）法律、法规、规章规定应当从轻或减轻处罚的其他情形；</w:t>
            </w:r>
          </w:p>
          <w:p>
            <w:pPr>
              <w:rPr>
                <w:rFonts w:hint="eastAsia" w:ascii="仿宋_GB2312" w:hAnsi="仿宋_GB2312" w:eastAsia="仿宋_GB2312" w:cs="仿宋_GB2312"/>
                <w:sz w:val="21"/>
                <w:szCs w:val="21"/>
                <w:lang w:val="en-US" w:eastAsia="zh-CN"/>
              </w:rPr>
            </w:pPr>
          </w:p>
        </w:tc>
        <w:tc>
          <w:tcPr>
            <w:tcW w:w="1515" w:type="dxa"/>
            <w:vMerge w:val="restart"/>
            <w:noWrap w:val="0"/>
            <w:vAlign w:val="top"/>
          </w:tcPr>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《行政处罚法》第三十二条</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《规范医疗保障基金使用监督管理行政处罚裁量权办法&gt;第十四</w:t>
            </w:r>
          </w:p>
        </w:tc>
        <w:tc>
          <w:tcPr>
            <w:tcW w:w="741" w:type="dxa"/>
            <w:vMerge w:val="restart"/>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对定点医药机构分解住院、挂床住院等造成医疗保障基金损失的违法行为的行政处罚</w:t>
            </w:r>
          </w:p>
        </w:tc>
        <w:tc>
          <w:tcPr>
            <w:tcW w:w="2430"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1" w:type="dxa"/>
            <w:vMerge w:val="continue"/>
            <w:tcBorders/>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对定点医药机构未建立医疗保障基金使用内部管理制度，或者没有专门机构或者人员负责医疗保障基金使用管理工作等行为的行政处罚</w:t>
            </w:r>
          </w:p>
        </w:tc>
        <w:tc>
          <w:tcPr>
            <w:tcW w:w="2430"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1" w:type="dxa"/>
            <w:vMerge w:val="continue"/>
            <w:tcBorders/>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对于定点医药机构诱导、协助他人冒名或者虚假就医、购药，提供虚假证明材料，或者串通他人虚开费用单据等骗取医保基金支出的行为的行政处罚</w:t>
            </w:r>
          </w:p>
        </w:tc>
        <w:tc>
          <w:tcPr>
            <w:tcW w:w="2430"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1" w:type="dxa"/>
            <w:vMerge w:val="continue"/>
            <w:tcBorders/>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对个人将本人的医疗保障凭证交由他人冒名使用等违法使用医保基金行为的行政处罚</w:t>
            </w:r>
          </w:p>
        </w:tc>
        <w:tc>
          <w:tcPr>
            <w:tcW w:w="2430" w:type="dxa"/>
            <w:vMerge w:val="restart"/>
            <w:tcBorders/>
            <w:noWrap w:val="0"/>
            <w:vAlign w:val="top"/>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（七）尚未完全丧失辨认或者控制自己行为能力的精神病人、智力残疾人有违法行为的;（八）初次违法且危害后果轻微并及时改正的;（九）法律、法规、规章规定可以从轻或诚轻处罚的其他情形。</w:t>
            </w:r>
          </w:p>
        </w:tc>
        <w:tc>
          <w:tcPr>
            <w:tcW w:w="1515" w:type="dxa"/>
            <w:vMerge w:val="restart"/>
            <w:tcBorders/>
            <w:noWrap w:val="0"/>
            <w:vAlign w:val="top"/>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规范医疗保障基金使用监督管理行政处</w:t>
            </w:r>
          </w:p>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罚裁量权办法》第十五</w:t>
            </w:r>
          </w:p>
        </w:tc>
        <w:tc>
          <w:tcPr>
            <w:tcW w:w="741" w:type="dxa"/>
            <w:vMerge w:val="restart"/>
            <w:noWrap w:val="0"/>
            <w:vAlign w:val="center"/>
          </w:tcPr>
          <w:p>
            <w:pPr>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noWrap w:val="0"/>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3870" w:type="dxa"/>
            <w:noWrap w:val="0"/>
            <w:vAlign w:val="center"/>
          </w:tcPr>
          <w:p>
            <w:pP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对参加药品采购投标的投标人以低于成本的报价竞标，或者以欺诈、串通投标、滥用市场支配地位等方式竞标的行政处罚</w:t>
            </w:r>
          </w:p>
        </w:tc>
        <w:tc>
          <w:tcPr>
            <w:tcW w:w="2430"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1515" w:type="dxa"/>
            <w:vMerge w:val="continue"/>
            <w:tcBorders/>
            <w:noWrap w:val="0"/>
            <w:vAlign w:val="top"/>
          </w:tcPr>
          <w:p>
            <w:pPr>
              <w:rPr>
                <w:rFonts w:hint="eastAsia" w:ascii="仿宋_GB2312" w:hAnsi="仿宋_GB2312" w:eastAsia="仿宋_GB2312" w:cs="仿宋_GB2312"/>
                <w:sz w:val="21"/>
                <w:szCs w:val="21"/>
                <w:lang w:val="en-US" w:eastAsia="zh-CN"/>
              </w:rPr>
            </w:pPr>
          </w:p>
        </w:tc>
        <w:tc>
          <w:tcPr>
            <w:tcW w:w="741" w:type="dxa"/>
            <w:vMerge w:val="continue"/>
            <w:tcBorders/>
            <w:noWrap w:val="0"/>
            <w:vAlign w:val="center"/>
          </w:tcPr>
          <w:p>
            <w:pPr>
              <w:rPr>
                <w:rFonts w:hint="eastAsia" w:ascii="仿宋_GB2312" w:hAnsi="仿宋_GB2312" w:eastAsia="仿宋_GB2312" w:cs="仿宋_GB2312"/>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after="120" w:line="560" w:lineRule="exact"/>
        <w:jc w:val="both"/>
        <w:textAlignment w:val="auto"/>
        <w:rPr>
          <w:rFonts w:hint="eastAsia" w:ascii="仿宋_GB2312" w:hAnsi="仿宋_GB2312" w:eastAsia="仿宋_GB2312" w:cs="仿宋_GB2312"/>
          <w:b/>
          <w:bCs/>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after="120" w:line="560" w:lineRule="exact"/>
        <w:jc w:val="center"/>
        <w:textAlignment w:val="auto"/>
        <w:rPr>
          <w:rFonts w:hint="default" w:ascii="仿宋_GB2312" w:hAnsi="仿宋_GB2312" w:eastAsia="仿宋_GB2312" w:cs="仿宋_GB2312"/>
          <w:b/>
          <w:bCs/>
          <w:kern w:val="2"/>
          <w:sz w:val="36"/>
          <w:szCs w:val="36"/>
          <w:lang w:val="en-US" w:eastAsia="zh-CN" w:bidi="ar-SA"/>
        </w:rPr>
      </w:pPr>
      <w:r>
        <w:rPr>
          <w:rFonts w:hint="eastAsia" w:ascii="仿宋_GB2312" w:hAnsi="仿宋_GB2312" w:eastAsia="仿宋_GB2312" w:cs="仿宋_GB2312"/>
          <w:b/>
          <w:bCs/>
          <w:kern w:val="2"/>
          <w:sz w:val="36"/>
          <w:szCs w:val="36"/>
          <w:lang w:val="en-US" w:eastAsia="zh-CN" w:bidi="ar-SA"/>
        </w:rPr>
        <w:t>减轻行政</w:t>
      </w:r>
      <w:r>
        <w:rPr>
          <w:rFonts w:hint="default" w:ascii="仿宋_GB2312" w:hAnsi="仿宋_GB2312" w:eastAsia="仿宋_GB2312" w:cs="仿宋_GB2312"/>
          <w:b/>
          <w:bCs/>
          <w:kern w:val="2"/>
          <w:sz w:val="36"/>
          <w:szCs w:val="36"/>
          <w:lang w:val="en-US" w:eastAsia="zh-CN" w:bidi="ar-SA"/>
        </w:rPr>
        <w:t>处罚清单</w:t>
      </w:r>
    </w:p>
    <w:p>
      <w:pPr>
        <w:pStyle w:val="2"/>
        <w:rPr>
          <w:rFonts w:hint="default"/>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2000"/>
        <w:gridCol w:w="2896"/>
        <w:gridCol w:w="2325"/>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776"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40"/>
                <w:szCs w:val="40"/>
                <w:vertAlign w:val="baseline"/>
                <w:lang w:val="en-US" w:eastAsia="zh-CN"/>
              </w:rPr>
            </w:pPr>
            <w:r>
              <w:rPr>
                <w:rFonts w:ascii="黑体" w:hAnsi="宋体" w:eastAsia="黑体" w:cs="黑体"/>
                <w:i w:val="0"/>
                <w:caps w:val="0"/>
                <w:color w:val="343434"/>
                <w:spacing w:val="0"/>
                <w:kern w:val="0"/>
                <w:sz w:val="28"/>
                <w:szCs w:val="28"/>
                <w:lang w:val="en-US" w:eastAsia="zh-CN" w:bidi="ar"/>
              </w:rPr>
              <w:t>序号</w:t>
            </w:r>
          </w:p>
        </w:tc>
        <w:tc>
          <w:tcPr>
            <w:tcW w:w="2814"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40"/>
                <w:szCs w:val="40"/>
                <w:vertAlign w:val="baseline"/>
                <w:lang w:val="en-US" w:eastAsia="zh-CN"/>
              </w:rPr>
            </w:pPr>
            <w:r>
              <w:rPr>
                <w:rFonts w:hint="eastAsia" w:ascii="黑体" w:hAnsi="宋体" w:eastAsia="黑体" w:cs="黑体"/>
                <w:i w:val="0"/>
                <w:caps w:val="0"/>
                <w:color w:val="343434"/>
                <w:spacing w:val="0"/>
                <w:kern w:val="0"/>
                <w:sz w:val="28"/>
                <w:szCs w:val="28"/>
                <w:lang w:val="en-US" w:eastAsia="zh-CN" w:bidi="ar"/>
              </w:rPr>
              <w:t>违法行为</w:t>
            </w:r>
          </w:p>
        </w:tc>
        <w:tc>
          <w:tcPr>
            <w:tcW w:w="4195"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40"/>
                <w:szCs w:val="40"/>
                <w:vertAlign w:val="baseline"/>
                <w:lang w:val="en-US" w:eastAsia="zh-CN"/>
              </w:rPr>
            </w:pPr>
            <w:r>
              <w:rPr>
                <w:rFonts w:hint="eastAsia" w:ascii="黑体" w:hAnsi="宋体" w:eastAsia="黑体" w:cs="黑体"/>
                <w:i w:val="0"/>
                <w:caps w:val="0"/>
                <w:color w:val="343434"/>
                <w:spacing w:val="0"/>
                <w:kern w:val="0"/>
                <w:sz w:val="28"/>
                <w:szCs w:val="28"/>
                <w:lang w:val="en-US" w:eastAsia="zh-CN" w:bidi="ar"/>
              </w:rPr>
              <w:t>减轻</w:t>
            </w:r>
            <w:r>
              <w:rPr>
                <w:rFonts w:ascii="黑体" w:hAnsi="宋体" w:eastAsia="黑体" w:cs="黑体"/>
                <w:i w:val="0"/>
                <w:caps w:val="0"/>
                <w:color w:val="343434"/>
                <w:spacing w:val="0"/>
                <w:kern w:val="0"/>
                <w:sz w:val="28"/>
                <w:szCs w:val="28"/>
                <w:lang w:val="en-US" w:eastAsia="zh-CN" w:bidi="ar"/>
              </w:rPr>
              <w:t>处罚的情形</w:t>
            </w:r>
          </w:p>
        </w:tc>
        <w:tc>
          <w:tcPr>
            <w:tcW w:w="3315"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40"/>
                <w:szCs w:val="40"/>
                <w:vertAlign w:val="baseline"/>
                <w:lang w:val="en-US" w:eastAsia="zh-CN"/>
              </w:rPr>
            </w:pPr>
            <w:r>
              <w:rPr>
                <w:rFonts w:hint="eastAsia" w:ascii="黑体" w:hAnsi="宋体" w:eastAsia="黑体" w:cs="黑体"/>
                <w:i w:val="0"/>
                <w:caps w:val="0"/>
                <w:color w:val="343434"/>
                <w:spacing w:val="0"/>
                <w:kern w:val="0"/>
                <w:sz w:val="28"/>
                <w:szCs w:val="28"/>
                <w:lang w:val="en-US" w:eastAsia="zh-CN" w:bidi="ar"/>
              </w:rPr>
              <w:t>法律</w:t>
            </w:r>
            <w:r>
              <w:rPr>
                <w:rFonts w:ascii="黑体" w:hAnsi="宋体" w:eastAsia="黑体" w:cs="黑体"/>
                <w:i w:val="0"/>
                <w:caps w:val="0"/>
                <w:color w:val="343434"/>
                <w:spacing w:val="0"/>
                <w:kern w:val="0"/>
                <w:sz w:val="28"/>
                <w:szCs w:val="28"/>
                <w:lang w:val="en-US" w:eastAsia="zh-CN" w:bidi="ar"/>
              </w:rPr>
              <w:t>依据</w:t>
            </w:r>
          </w:p>
        </w:tc>
        <w:tc>
          <w:tcPr>
            <w:tcW w:w="1872"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黑体" w:hAnsi="宋体" w:eastAsia="黑体" w:cs="黑体"/>
                <w:i w:val="0"/>
                <w:caps w:val="0"/>
                <w:color w:val="343434"/>
                <w:spacing w:val="0"/>
                <w:kern w:val="0"/>
                <w:sz w:val="28"/>
                <w:szCs w:val="28"/>
                <w:lang w:val="en-US" w:eastAsia="zh-CN" w:bidi="ar"/>
              </w:rPr>
            </w:pPr>
            <w:r>
              <w:rPr>
                <w:rFonts w:hint="eastAsia" w:ascii="黑体" w:hAnsi="宋体" w:eastAsia="黑体" w:cs="黑体"/>
                <w:i w:val="0"/>
                <w:caps w:val="0"/>
                <w:color w:val="343434"/>
                <w:spacing w:val="0"/>
                <w:kern w:val="0"/>
                <w:sz w:val="28"/>
                <w:szCs w:val="28"/>
                <w:lang w:val="en-US" w:eastAsia="zh-CN" w:bidi="ar"/>
              </w:rPr>
              <w:t>配套监管</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40"/>
                <w:szCs w:val="40"/>
                <w:vertAlign w:val="baseline"/>
                <w:lang w:val="en-US" w:eastAsia="zh-CN"/>
              </w:rPr>
            </w:pPr>
            <w:r>
              <w:rPr>
                <w:rFonts w:hint="eastAsia" w:ascii="黑体" w:hAnsi="宋体" w:eastAsia="黑体" w:cs="黑体"/>
                <w:i w:val="0"/>
                <w:caps w:val="0"/>
                <w:color w:val="343434"/>
                <w:spacing w:val="0"/>
                <w:kern w:val="0"/>
                <w:sz w:val="28"/>
                <w:szCs w:val="28"/>
                <w:lang w:val="en-US" w:eastAsia="zh-CN" w:bidi="ar"/>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after="120" w:line="240" w:lineRule="auto"/>
              <w:jc w:val="center"/>
              <w:textAlignment w:val="auto"/>
              <w:rPr>
                <w:rFonts w:hint="default" w:ascii="仿宋_GB2312" w:hAnsi="仿宋_GB2312" w:eastAsia="仿宋_GB2312" w:cs="仿宋_GB2312"/>
                <w:b w:val="0"/>
                <w:bCs w:val="0"/>
                <w:i w:val="0"/>
                <w:caps w:val="0"/>
                <w:color w:val="auto"/>
                <w:spacing w:val="0"/>
                <w:kern w:val="0"/>
                <w:sz w:val="21"/>
                <w:szCs w:val="21"/>
                <w:shd w:val="clear" w:color="auto" w:fill="FFFFFF"/>
                <w:lang w:val="en-US" w:eastAsia="zh-CN" w:bidi="ar"/>
              </w:rPr>
            </w:pPr>
            <w:r>
              <w:rPr>
                <w:rFonts w:hint="eastAsia" w:ascii="仿宋_GB2312" w:hAnsi="仿宋_GB2312" w:eastAsia="仿宋_GB2312" w:cs="仿宋_GB2312"/>
                <w:b w:val="0"/>
                <w:bCs w:val="0"/>
                <w:i w:val="0"/>
                <w:caps w:val="0"/>
                <w:color w:val="auto"/>
                <w:spacing w:val="0"/>
                <w:kern w:val="0"/>
                <w:sz w:val="21"/>
                <w:szCs w:val="21"/>
                <w:shd w:val="clear" w:color="auto" w:fill="FFFFFF"/>
                <w:lang w:val="en-US" w:eastAsia="zh-CN" w:bidi="ar"/>
              </w:rPr>
              <w:t>1</w:t>
            </w:r>
          </w:p>
        </w:tc>
        <w:tc>
          <w:tcPr>
            <w:tcW w:w="2814" w:type="dxa"/>
            <w:noWrap w:val="0"/>
            <w:vAlign w:val="center"/>
          </w:tcPr>
          <w:p>
            <w:pPr>
              <w:keepNext w:val="0"/>
              <w:keepLines w:val="0"/>
              <w:pageBreakBefore w:val="0"/>
              <w:widowControl w:val="0"/>
              <w:kinsoku/>
              <w:wordWrap/>
              <w:overflowPunct/>
              <w:topLinePunct w:val="0"/>
              <w:autoSpaceDE/>
              <w:autoSpaceDN/>
              <w:bidi w:val="0"/>
              <w:adjustRightInd/>
              <w:snapToGrid/>
              <w:spacing w:after="120" w:line="240" w:lineRule="auto"/>
              <w:jc w:val="center"/>
              <w:textAlignment w:val="auto"/>
              <w:rPr>
                <w:rFonts w:hint="default" w:ascii="仿宋_GB2312" w:hAnsi="仿宋_GB2312" w:eastAsia="仿宋_GB2312" w:cs="仿宋_GB2312"/>
                <w:b w:val="0"/>
                <w:bCs w:val="0"/>
                <w:i w:val="0"/>
                <w:caps w:val="0"/>
                <w:color w:val="auto"/>
                <w:spacing w:val="0"/>
                <w:kern w:val="0"/>
                <w:sz w:val="21"/>
                <w:szCs w:val="21"/>
                <w:shd w:val="clear" w:color="auto" w:fill="FFFFFF"/>
                <w:lang w:val="en-US" w:eastAsia="zh-CN" w:bidi="ar"/>
              </w:rPr>
            </w:pPr>
            <w:r>
              <w:rPr>
                <w:rFonts w:hint="eastAsia" w:ascii="仿宋_GB2312" w:hAnsi="仿宋_GB2312" w:eastAsia="仿宋_GB2312" w:cs="仿宋_GB2312"/>
                <w:b w:val="0"/>
                <w:bCs w:val="0"/>
                <w:i w:val="0"/>
                <w:caps w:val="0"/>
                <w:color w:val="auto"/>
                <w:spacing w:val="0"/>
                <w:kern w:val="0"/>
                <w:sz w:val="21"/>
                <w:szCs w:val="21"/>
                <w:shd w:val="clear" w:color="auto" w:fill="FFFFFF"/>
                <w:lang w:val="en-US" w:eastAsia="zh-CN" w:bidi="ar"/>
              </w:rPr>
              <w:t>无</w:t>
            </w:r>
          </w:p>
        </w:tc>
        <w:tc>
          <w:tcPr>
            <w:tcW w:w="4195" w:type="dxa"/>
            <w:noWrap w:val="0"/>
            <w:vAlign w:val="top"/>
          </w:tcPr>
          <w:p>
            <w:pPr>
              <w:keepNext w:val="0"/>
              <w:keepLines w:val="0"/>
              <w:pageBreakBefore w:val="0"/>
              <w:widowControl w:val="0"/>
              <w:kinsoku/>
              <w:wordWrap/>
              <w:overflowPunct/>
              <w:topLinePunct w:val="0"/>
              <w:autoSpaceDE/>
              <w:autoSpaceDN/>
              <w:bidi w:val="0"/>
              <w:adjustRightInd/>
              <w:snapToGrid/>
              <w:spacing w:after="120" w:line="240" w:lineRule="auto"/>
              <w:jc w:val="left"/>
              <w:textAlignment w:val="auto"/>
              <w:rPr>
                <w:rFonts w:hint="eastAsia" w:ascii="仿宋_GB2312" w:hAnsi="仿宋_GB2312" w:eastAsia="仿宋_GB2312" w:cs="仿宋_GB2312"/>
                <w:b w:val="0"/>
                <w:bCs w:val="0"/>
                <w:i w:val="0"/>
                <w:caps w:val="0"/>
                <w:color w:val="auto"/>
                <w:spacing w:val="0"/>
                <w:kern w:val="0"/>
                <w:sz w:val="21"/>
                <w:szCs w:val="21"/>
                <w:shd w:val="clear" w:color="auto" w:fill="FFFFFF"/>
                <w:lang w:val="en-US" w:eastAsia="zh-CN" w:bidi="ar"/>
              </w:rPr>
            </w:pPr>
          </w:p>
        </w:tc>
        <w:tc>
          <w:tcPr>
            <w:tcW w:w="3315" w:type="dxa"/>
            <w:noWrap w:val="0"/>
            <w:vAlign w:val="top"/>
          </w:tcPr>
          <w:p>
            <w:pPr>
              <w:keepNext w:val="0"/>
              <w:keepLines w:val="0"/>
              <w:pageBreakBefore w:val="0"/>
              <w:widowControl w:val="0"/>
              <w:kinsoku/>
              <w:wordWrap/>
              <w:overflowPunct/>
              <w:topLinePunct w:val="0"/>
              <w:autoSpaceDE/>
              <w:autoSpaceDN/>
              <w:bidi w:val="0"/>
              <w:adjustRightInd/>
              <w:snapToGrid/>
              <w:spacing w:after="120" w:line="240" w:lineRule="auto"/>
              <w:jc w:val="left"/>
              <w:textAlignment w:val="auto"/>
              <w:rPr>
                <w:rFonts w:hint="eastAsia" w:ascii="仿宋_GB2312" w:hAnsi="仿宋_GB2312" w:eastAsia="仿宋_GB2312" w:cs="仿宋_GB2312"/>
                <w:b w:val="0"/>
                <w:bCs w:val="0"/>
                <w:color w:val="auto"/>
                <w:sz w:val="32"/>
                <w:szCs w:val="32"/>
                <w:vertAlign w:val="baseline"/>
                <w:lang w:val="en-US" w:eastAsia="zh-CN"/>
              </w:rPr>
            </w:pPr>
          </w:p>
        </w:tc>
        <w:tc>
          <w:tcPr>
            <w:tcW w:w="1872" w:type="dxa"/>
            <w:noWrap w:val="0"/>
            <w:vAlign w:val="center"/>
          </w:tcPr>
          <w:p>
            <w:pPr>
              <w:keepNext w:val="0"/>
              <w:keepLines w:val="0"/>
              <w:pageBreakBefore w:val="0"/>
              <w:widowControl w:val="0"/>
              <w:kinsoku/>
              <w:wordWrap/>
              <w:overflowPunct/>
              <w:topLinePunct w:val="0"/>
              <w:autoSpaceDE/>
              <w:autoSpaceDN/>
              <w:bidi w:val="0"/>
              <w:adjustRightInd/>
              <w:snapToGrid/>
              <w:spacing w:after="120" w:line="240" w:lineRule="auto"/>
              <w:jc w:val="center"/>
              <w:textAlignment w:val="auto"/>
              <w:rPr>
                <w:rFonts w:hint="eastAsia" w:ascii="仿宋_GB2312" w:hAnsi="仿宋_GB2312" w:eastAsia="仿宋_GB2312" w:cs="仿宋_GB2312"/>
                <w:b/>
                <w:bCs/>
                <w:kern w:val="2"/>
                <w:sz w:val="32"/>
                <w:szCs w:val="32"/>
                <w:vertAlign w:val="baseline"/>
                <w:lang w:val="en-US" w:eastAsia="zh-CN" w:bidi="ar-SA"/>
              </w:rPr>
            </w:pPr>
          </w:p>
        </w:tc>
      </w:tr>
    </w:tbl>
    <w:p>
      <w:pPr>
        <w:pStyle w:val="2"/>
        <w:jc w:val="both"/>
        <w:rPr>
          <w:rFonts w:hint="default"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 w:hAnsi="仿宋" w:eastAsia="仿宋" w:cs="仿宋"/>
          <w:sz w:val="32"/>
          <w:szCs w:val="32"/>
          <w:lang w:val="en-US" w:eastAsia="zh-CN"/>
        </w:rPr>
      </w:pPr>
    </w:p>
    <w:sectPr>
      <w:footerReference r:id="rId3" w:type="default"/>
      <w:pgSz w:w="11906" w:h="16838"/>
      <w:pgMar w:top="2098" w:right="1247" w:bottom="1984" w:left="1587" w:header="851" w:footer="992" w:gutter="0"/>
      <w:paperSrc/>
      <w:pgNumType w:fmt="numberInDash"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ESI小标宋-GB13000">
    <w:altName w:val="宋体"/>
    <w:panose1 w:val="02000500000000000000"/>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MTM2YzM0ZmQxNTdlNjg5N2RhOTdiY2Y2MTEyZDgifQ=="/>
  </w:docVars>
  <w:rsids>
    <w:rsidRoot w:val="00000000"/>
    <w:rsid w:val="00294959"/>
    <w:rsid w:val="00846033"/>
    <w:rsid w:val="029307AF"/>
    <w:rsid w:val="034A3564"/>
    <w:rsid w:val="039B3DC0"/>
    <w:rsid w:val="04054416"/>
    <w:rsid w:val="077E558A"/>
    <w:rsid w:val="07846919"/>
    <w:rsid w:val="08202AE5"/>
    <w:rsid w:val="089979DE"/>
    <w:rsid w:val="09300B06"/>
    <w:rsid w:val="09903C9B"/>
    <w:rsid w:val="09BC4A90"/>
    <w:rsid w:val="0B5C5BE2"/>
    <w:rsid w:val="0BCE17C1"/>
    <w:rsid w:val="0E1529C0"/>
    <w:rsid w:val="0E4B0190"/>
    <w:rsid w:val="0E527771"/>
    <w:rsid w:val="0E5E4367"/>
    <w:rsid w:val="0EA63619"/>
    <w:rsid w:val="0EFE3455"/>
    <w:rsid w:val="0F7A6F7F"/>
    <w:rsid w:val="0FD0094D"/>
    <w:rsid w:val="107514F4"/>
    <w:rsid w:val="108160EB"/>
    <w:rsid w:val="10A67900"/>
    <w:rsid w:val="10D0497D"/>
    <w:rsid w:val="112A6783"/>
    <w:rsid w:val="113118BF"/>
    <w:rsid w:val="115B693C"/>
    <w:rsid w:val="117479FE"/>
    <w:rsid w:val="11A413E1"/>
    <w:rsid w:val="11A71B81"/>
    <w:rsid w:val="121E0096"/>
    <w:rsid w:val="1283439D"/>
    <w:rsid w:val="12891287"/>
    <w:rsid w:val="12942106"/>
    <w:rsid w:val="13AE369B"/>
    <w:rsid w:val="13FF3EF7"/>
    <w:rsid w:val="14E82BDD"/>
    <w:rsid w:val="16A91EF8"/>
    <w:rsid w:val="17946704"/>
    <w:rsid w:val="17D17958"/>
    <w:rsid w:val="18187335"/>
    <w:rsid w:val="185C1918"/>
    <w:rsid w:val="19D92807"/>
    <w:rsid w:val="1BF81957"/>
    <w:rsid w:val="1CA23671"/>
    <w:rsid w:val="1CDD6D9F"/>
    <w:rsid w:val="1CF864FE"/>
    <w:rsid w:val="1D3C1D18"/>
    <w:rsid w:val="1D6A0633"/>
    <w:rsid w:val="1DAB47A7"/>
    <w:rsid w:val="1E0565AE"/>
    <w:rsid w:val="1EBF050A"/>
    <w:rsid w:val="1FA94D17"/>
    <w:rsid w:val="20503FE2"/>
    <w:rsid w:val="2172731B"/>
    <w:rsid w:val="21DF2C72"/>
    <w:rsid w:val="244A2F6C"/>
    <w:rsid w:val="249E0BC2"/>
    <w:rsid w:val="24D246DB"/>
    <w:rsid w:val="24F86524"/>
    <w:rsid w:val="251F7F55"/>
    <w:rsid w:val="26AB5818"/>
    <w:rsid w:val="27C13545"/>
    <w:rsid w:val="28013942"/>
    <w:rsid w:val="29064F88"/>
    <w:rsid w:val="290A2CCA"/>
    <w:rsid w:val="291122AA"/>
    <w:rsid w:val="29210A82"/>
    <w:rsid w:val="29E74DB9"/>
    <w:rsid w:val="2A3E5D0B"/>
    <w:rsid w:val="2A790107"/>
    <w:rsid w:val="2B9920E3"/>
    <w:rsid w:val="2BBD4999"/>
    <w:rsid w:val="2BBF5FEE"/>
    <w:rsid w:val="2D0B0DBF"/>
    <w:rsid w:val="2DA41E97"/>
    <w:rsid w:val="2E1D349F"/>
    <w:rsid w:val="2E903C71"/>
    <w:rsid w:val="2EE144CD"/>
    <w:rsid w:val="2F5D0617"/>
    <w:rsid w:val="2F971030"/>
    <w:rsid w:val="31140B8A"/>
    <w:rsid w:val="3203475A"/>
    <w:rsid w:val="32676A97"/>
    <w:rsid w:val="32DF0D23"/>
    <w:rsid w:val="32FF4F22"/>
    <w:rsid w:val="330429F1"/>
    <w:rsid w:val="33B0446E"/>
    <w:rsid w:val="33C61EE3"/>
    <w:rsid w:val="33C87A09"/>
    <w:rsid w:val="359064DB"/>
    <w:rsid w:val="36DD557A"/>
    <w:rsid w:val="36FA25D0"/>
    <w:rsid w:val="36FD79CA"/>
    <w:rsid w:val="377E4FAF"/>
    <w:rsid w:val="37B3452D"/>
    <w:rsid w:val="37F94635"/>
    <w:rsid w:val="3801798E"/>
    <w:rsid w:val="3B0A4DAB"/>
    <w:rsid w:val="3B1479D8"/>
    <w:rsid w:val="3B315B04"/>
    <w:rsid w:val="3B6224F2"/>
    <w:rsid w:val="3B6A75F8"/>
    <w:rsid w:val="3D9848F1"/>
    <w:rsid w:val="3DBC05DF"/>
    <w:rsid w:val="3E8310FD"/>
    <w:rsid w:val="3ED656D0"/>
    <w:rsid w:val="3F584337"/>
    <w:rsid w:val="3FBE7F13"/>
    <w:rsid w:val="3FE77469"/>
    <w:rsid w:val="41214BFD"/>
    <w:rsid w:val="41F668DD"/>
    <w:rsid w:val="424D41EE"/>
    <w:rsid w:val="449D0A3E"/>
    <w:rsid w:val="45120AE5"/>
    <w:rsid w:val="46184820"/>
    <w:rsid w:val="46B251CC"/>
    <w:rsid w:val="487B4BF3"/>
    <w:rsid w:val="48A04659"/>
    <w:rsid w:val="48C04CFB"/>
    <w:rsid w:val="48E00D8E"/>
    <w:rsid w:val="49284D7B"/>
    <w:rsid w:val="4B375749"/>
    <w:rsid w:val="4B7D1F71"/>
    <w:rsid w:val="4BC36FDC"/>
    <w:rsid w:val="4BDA3F63"/>
    <w:rsid w:val="4D07739D"/>
    <w:rsid w:val="4D186EB4"/>
    <w:rsid w:val="4DDA060D"/>
    <w:rsid w:val="4EB470B0"/>
    <w:rsid w:val="4F4641AC"/>
    <w:rsid w:val="511F2F07"/>
    <w:rsid w:val="528613D1"/>
    <w:rsid w:val="540957A8"/>
    <w:rsid w:val="541C372E"/>
    <w:rsid w:val="54AC2F90"/>
    <w:rsid w:val="55A82D9F"/>
    <w:rsid w:val="55C37BD9"/>
    <w:rsid w:val="55EF2C4F"/>
    <w:rsid w:val="56552F27"/>
    <w:rsid w:val="56B23ED5"/>
    <w:rsid w:val="57CE11E3"/>
    <w:rsid w:val="57CE2F91"/>
    <w:rsid w:val="580F7106"/>
    <w:rsid w:val="58564D34"/>
    <w:rsid w:val="587D6765"/>
    <w:rsid w:val="591C7D2C"/>
    <w:rsid w:val="59D423B5"/>
    <w:rsid w:val="5B9C6F02"/>
    <w:rsid w:val="5BE82147"/>
    <w:rsid w:val="5BF60D08"/>
    <w:rsid w:val="5C0C22DA"/>
    <w:rsid w:val="5C1F025F"/>
    <w:rsid w:val="5D0E5BDE"/>
    <w:rsid w:val="5D123920"/>
    <w:rsid w:val="5D4810F0"/>
    <w:rsid w:val="5D7874FB"/>
    <w:rsid w:val="5E0A2DD7"/>
    <w:rsid w:val="5F7A755A"/>
    <w:rsid w:val="5F8605F5"/>
    <w:rsid w:val="60A76A75"/>
    <w:rsid w:val="610B0DB2"/>
    <w:rsid w:val="61355E2F"/>
    <w:rsid w:val="61453B98"/>
    <w:rsid w:val="61C80687"/>
    <w:rsid w:val="62214605"/>
    <w:rsid w:val="6315416A"/>
    <w:rsid w:val="635F53E5"/>
    <w:rsid w:val="640B2E77"/>
    <w:rsid w:val="64216B3E"/>
    <w:rsid w:val="649E018F"/>
    <w:rsid w:val="65624D19"/>
    <w:rsid w:val="65984BDE"/>
    <w:rsid w:val="65B44E59"/>
    <w:rsid w:val="66A82BFF"/>
    <w:rsid w:val="66EF082E"/>
    <w:rsid w:val="66F81DD8"/>
    <w:rsid w:val="673C0A21"/>
    <w:rsid w:val="67A755AC"/>
    <w:rsid w:val="67CC0B6F"/>
    <w:rsid w:val="684D3A5E"/>
    <w:rsid w:val="6A5C442C"/>
    <w:rsid w:val="6A975464"/>
    <w:rsid w:val="6AB204F0"/>
    <w:rsid w:val="6B361121"/>
    <w:rsid w:val="6CD75FEC"/>
    <w:rsid w:val="6D013069"/>
    <w:rsid w:val="6D6B4986"/>
    <w:rsid w:val="6DE85FD7"/>
    <w:rsid w:val="6E0E03F4"/>
    <w:rsid w:val="6EBE56B6"/>
    <w:rsid w:val="6F8C7562"/>
    <w:rsid w:val="6F9B59F7"/>
    <w:rsid w:val="6FB24AEE"/>
    <w:rsid w:val="6FF2313D"/>
    <w:rsid w:val="70402199"/>
    <w:rsid w:val="70820965"/>
    <w:rsid w:val="71122155"/>
    <w:rsid w:val="725620A9"/>
    <w:rsid w:val="728E1843"/>
    <w:rsid w:val="729055BB"/>
    <w:rsid w:val="73124222"/>
    <w:rsid w:val="7349296F"/>
    <w:rsid w:val="74485A21"/>
    <w:rsid w:val="749173C8"/>
    <w:rsid w:val="74B66E2F"/>
    <w:rsid w:val="75662603"/>
    <w:rsid w:val="75CD4430"/>
    <w:rsid w:val="769A7D34"/>
    <w:rsid w:val="76AC1248"/>
    <w:rsid w:val="76F93003"/>
    <w:rsid w:val="773A78A3"/>
    <w:rsid w:val="77B11FCE"/>
    <w:rsid w:val="77B358A8"/>
    <w:rsid w:val="78770683"/>
    <w:rsid w:val="78BB0EB8"/>
    <w:rsid w:val="78D930EC"/>
    <w:rsid w:val="79222CE5"/>
    <w:rsid w:val="7950308B"/>
    <w:rsid w:val="79C168F8"/>
    <w:rsid w:val="79ED50A1"/>
    <w:rsid w:val="7AF20495"/>
    <w:rsid w:val="7AFD57B8"/>
    <w:rsid w:val="7BE20509"/>
    <w:rsid w:val="7C684872"/>
    <w:rsid w:val="7CF46746"/>
    <w:rsid w:val="7D0E5A5A"/>
    <w:rsid w:val="7D280A3D"/>
    <w:rsid w:val="7D4B440E"/>
    <w:rsid w:val="7D902913"/>
    <w:rsid w:val="7DD768F0"/>
    <w:rsid w:val="7E002EC9"/>
    <w:rsid w:val="7E10135E"/>
    <w:rsid w:val="7F7F2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6479</Words>
  <Characters>6499</Characters>
  <Lines>0</Lines>
  <Paragraphs>0</Paragraphs>
  <TotalTime>36</TotalTime>
  <ScaleCrop>false</ScaleCrop>
  <LinksUpToDate>false</LinksUpToDate>
  <CharactersWithSpaces>7056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2023-02-24T06:38:00Z</dcterms:created>
  <dc:creator>Administrator</dc:creator>
  <cp:lastModifiedBy>ice</cp:lastModifiedBy>
  <cp:lastPrinted>2023-03-23T02:47:00Z</cp:lastPrinted>
  <dcterms:modified xsi:type="dcterms:W3CDTF">2024-01-18T09:19:12Z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A474F88A8E834DB8B8F7E23A06CE3CD7_13</vt:lpwstr>
  </property>
</Properties>
</file>